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D07DD">
      <w:pPr>
        <w:tabs>
          <w:tab w:val="right" w:pos="8505"/>
          <w:tab w:val="right" w:pos="9781"/>
        </w:tabs>
        <w:jc w:val="left"/>
        <w:textAlignment w:val="baseline"/>
        <w:rPr>
          <w:rFonts w:hint="default" w:ascii="Arial" w:hAnsi="Arial" w:eastAsia="宋体" w:cs="Arial"/>
          <w:bCs/>
          <w:kern w:val="0"/>
          <w:sz w:val="22"/>
          <w:szCs w:val="20"/>
          <w:lang w:val="en-US" w:eastAsia="zh-CN"/>
        </w:rPr>
      </w:pP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3GPP TSG-SA3 Meeting #12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5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S3-25</w:t>
      </w:r>
      <w:r>
        <w:rPr>
          <w:rFonts w:hint="eastAsia" w:ascii="Arial" w:hAnsi="Arial" w:eastAsia="宋体" w:cs="Times New Roman"/>
          <w:b/>
          <w:kern w:val="0"/>
          <w:sz w:val="22"/>
          <w:lang w:val="en-US" w:eastAsia="zh-CN"/>
        </w:rPr>
        <w:t>4225</w:t>
      </w:r>
    </w:p>
    <w:p w14:paraId="2773AA04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ascii="Arial" w:hAnsi="Arial" w:eastAsia="Yu Mincho" w:cs="Times New Roman"/>
          <w:b/>
          <w:kern w:val="0"/>
          <w:sz w:val="22"/>
          <w:lang w:eastAsia="en-GB"/>
        </w:rPr>
        <w:t>Dalla</w:t>
      </w:r>
      <w:r>
        <w:rPr>
          <w:rFonts w:hint="default" w:ascii="Arial" w:hAnsi="Arial" w:eastAsia="Yu Mincho" w:cs="Times New Roman"/>
          <w:b/>
          <w:kern w:val="0"/>
          <w:sz w:val="22"/>
          <w:lang w:val="en-US" w:eastAsia="en-GB"/>
        </w:rPr>
        <w:t>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,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US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, 1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7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–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21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November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2025</w:t>
      </w:r>
    </w:p>
    <w:p w14:paraId="1B4E112E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</w:p>
    <w:p w14:paraId="1CF5CE41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Title: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shd w:val="clear" w:color="auto" w:fill="FFFF00"/>
          <w:lang w:val="en-GB" w:eastAsia="en-GB"/>
        </w:rPr>
        <w:t>[draft]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 Reply LS</w:t>
      </w:r>
      <w:bookmarkStart w:id="11" w:name="_GoBack"/>
      <w:bookmarkEnd w:id="11"/>
      <w:r>
        <w:rPr>
          <w:rFonts w:ascii="Arial" w:hAnsi="Arial" w:eastAsia="Yu Mincho" w:cs="Arial"/>
          <w:b/>
          <w:kern w:val="0"/>
          <w:sz w:val="22"/>
          <w:lang w:val="en-GB"/>
        </w:rPr>
        <w:t xml:space="preserve"> on integrity failure</w:t>
      </w:r>
    </w:p>
    <w:p w14:paraId="1CF66477">
      <w:pPr>
        <w:widowControl/>
        <w:spacing w:after="60"/>
        <w:ind w:left="1985" w:hanging="1985"/>
        <w:jc w:val="left"/>
        <w:textAlignment w:val="baseline"/>
        <w:rPr>
          <w:rFonts w:hint="eastAsia" w:ascii="Arial" w:hAnsi="Arial" w:eastAsia="宋体" w:cs="Arial"/>
          <w:b/>
          <w:bCs/>
          <w:kern w:val="0"/>
          <w:sz w:val="22"/>
          <w:lang w:val="en-US" w:eastAsia="zh-CN"/>
        </w:rPr>
      </w:pPr>
      <w:bookmarkStart w:id="0" w:name="OLE_LINK58"/>
      <w:bookmarkEnd w:id="0"/>
      <w:bookmarkStart w:id="1" w:name="OLE_LINK57"/>
      <w:bookmarkEnd w:id="1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Response 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S3-25</w:t>
      </w:r>
      <w:r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  <w:t>4009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 xml:space="preserve"> / R2-250</w:t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7915</w:t>
      </w:r>
      <w:r>
        <w:rPr>
          <w:rFonts w:hint="eastAsia" w:ascii="Arial" w:hAnsi="Arial" w:eastAsia="宋体" w:cs="Arial"/>
          <w:b/>
          <w:bCs/>
          <w:kern w:val="0"/>
          <w:sz w:val="22"/>
          <w:lang w:val="en-US" w:eastAsia="zh-CN"/>
        </w:rPr>
        <w:t xml:space="preserve"> LS on integrity failure</w:t>
      </w:r>
    </w:p>
    <w:p w14:paraId="3378DC55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2" w:name="OLE_LINK57_Copy_1"/>
      <w:bookmarkEnd w:id="2"/>
      <w:bookmarkStart w:id="3" w:name="OLE_LINK58_Copy_1"/>
      <w:bookmarkEnd w:id="3"/>
      <w:bookmarkStart w:id="4" w:name="OLE_LINK59"/>
      <w:bookmarkStart w:id="5" w:name="OLE_LINK61"/>
      <w:bookmarkStart w:id="6" w:name="OLE_LINK60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Release: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Rel-1</w:t>
      </w:r>
      <w:r>
        <w:rPr>
          <w:rFonts w:ascii="Arial" w:hAnsi="Arial" w:eastAsia="Yu Mincho" w:cs="Arial"/>
          <w:b/>
          <w:bCs/>
          <w:kern w:val="0"/>
          <w:sz w:val="22"/>
          <w:lang w:val="en-GB"/>
        </w:rPr>
        <w:t>9</w:t>
      </w:r>
      <w:bookmarkEnd w:id="4"/>
      <w:bookmarkEnd w:id="5"/>
      <w:bookmarkEnd w:id="6"/>
    </w:p>
    <w:p w14:paraId="3EA97E13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Work Item: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 Bold" w:hAnsi="Arial Bold" w:eastAsia="Times New Roman" w:cs="Arial Bold"/>
          <w:b/>
          <w:sz w:val="22"/>
        </w:rPr>
        <w:t>Ambient_IoT_solutions</w:t>
      </w:r>
    </w:p>
    <w:p w14:paraId="0756668A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</w:p>
    <w:p w14:paraId="18A86220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Source: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eastAsia="en-GB"/>
        </w:rPr>
        <w:t>SA3</w:t>
      </w:r>
    </w:p>
    <w:p w14:paraId="0EC91CA0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RAN2</w:t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, CT1</w:t>
      </w:r>
    </w:p>
    <w:p w14:paraId="545BE60A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bookmarkStart w:id="7" w:name="OLE_LINK46"/>
      <w:bookmarkStart w:id="8" w:name="OLE_LINK45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Cc: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bookmarkEnd w:id="7"/>
      <w:bookmarkEnd w:id="8"/>
      <w:r>
        <w:rPr>
          <w:rFonts w:hint="eastAsia" w:ascii="Arial" w:hAnsi="Arial" w:eastAsia="Yu Mincho" w:cs="Arial"/>
          <w:b/>
          <w:bCs/>
          <w:kern w:val="0"/>
          <w:sz w:val="22"/>
          <w:lang w:val="en-GB" w:eastAsia="zh-CN"/>
        </w:rPr>
        <w:t>SA</w:t>
      </w:r>
      <w:r>
        <w:rPr>
          <w:rFonts w:ascii="Arial" w:hAnsi="Arial" w:eastAsia="Yu Mincho" w:cs="Arial"/>
          <w:b/>
          <w:bCs/>
          <w:kern w:val="0"/>
          <w:sz w:val="22"/>
          <w:lang w:val="en-GB" w:eastAsia="zh-CN"/>
        </w:rPr>
        <w:t>2, RAN3</w:t>
      </w:r>
    </w:p>
    <w:p w14:paraId="6494E526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Cs/>
          <w:kern w:val="0"/>
          <w:sz w:val="20"/>
          <w:szCs w:val="20"/>
          <w:lang w:val="en-GB" w:eastAsia="en-GB"/>
        </w:rPr>
      </w:pPr>
    </w:p>
    <w:p w14:paraId="3F27C2A3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Contact person: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 Guo</w:t>
      </w:r>
    </w:p>
    <w:p w14:paraId="7362CD44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ivy_guo@apple.com</w:t>
      </w:r>
    </w:p>
    <w:p w14:paraId="306992AE">
      <w:pPr>
        <w:widowControl/>
        <w:spacing w:after="60"/>
        <w:ind w:left="1985" w:hanging="1985"/>
        <w:jc w:val="left"/>
        <w:textAlignment w:val="baseline"/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Send any reply LS to: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t>mailto:3GPPLiaison@etsi.org</w:t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fldChar w:fldCharType="end"/>
      </w:r>
    </w:p>
    <w:p w14:paraId="5D2CE31E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</w:p>
    <w:p w14:paraId="1E11E1CC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F10182A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Overall description</w:t>
      </w:r>
    </w:p>
    <w:p w14:paraId="177BE0EC">
      <w:p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  <w:lang w:val="en-GB"/>
        </w:rPr>
        <w:t xml:space="preserve">SA3 would like to thank RAN2 for their LS on </w:t>
      </w:r>
      <w:r>
        <w:rPr>
          <w:rFonts w:ascii="Arial" w:hAnsi="Arial" w:cs="Arial"/>
          <w:kern w:val="0"/>
          <w:sz w:val="20"/>
          <w:szCs w:val="20"/>
        </w:rPr>
        <w:t>Integrity failure in R2-2507915</w:t>
      </w:r>
      <w:r>
        <w:rPr>
          <w:rFonts w:ascii="Arial" w:hAnsi="Arial" w:cs="Arial"/>
          <w:kern w:val="0"/>
          <w:sz w:val="20"/>
          <w:szCs w:val="20"/>
          <w:lang w:val="en-GB"/>
        </w:rPr>
        <w:t>.</w:t>
      </w:r>
      <w:r>
        <w:rPr>
          <w:rFonts w:ascii="Arial" w:hAnsi="Arial" w:cs="Arial"/>
          <w:kern w:val="0"/>
          <w:sz w:val="20"/>
          <w:szCs w:val="20"/>
        </w:rPr>
        <w:t xml:space="preserve"> SA3 has discussed the issue and provide the answers as below: </w:t>
      </w:r>
    </w:p>
    <w:p w14:paraId="06707329">
      <w:pPr>
        <w:rPr>
          <w:rFonts w:ascii="Arial Bold" w:hAnsi="Arial Bold" w:cs="Arial Bold"/>
          <w:b/>
          <w:bCs/>
          <w:sz w:val="20"/>
          <w:szCs w:val="20"/>
          <w:lang w:eastAsia="zh-CN"/>
        </w:rPr>
      </w:pPr>
      <w:r>
        <w:rPr>
          <w:rFonts w:ascii="Arial Bold" w:hAnsi="Arial Bold" w:cs="Arial Bold"/>
          <w:b/>
          <w:bCs/>
          <w:sz w:val="20"/>
          <w:szCs w:val="20"/>
          <w:lang w:eastAsia="zh-CN"/>
        </w:rPr>
        <w:t>Q1: whether, from the security perspective, it is allowed for the device to send an AS response to the reader for an A-IoT NAS message whose integrity protection check fails;</w:t>
      </w:r>
    </w:p>
    <w:p w14:paraId="22FEB2EE">
      <w:p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A1: For the case of NAS message integrity protection check failure, AIoT device doesn’t reply to the reader since the reader could be a compromised one. </w:t>
      </w:r>
    </w:p>
    <w:p w14:paraId="667F7A85">
      <w:pPr>
        <w:rPr>
          <w:rFonts w:hint="default" w:ascii="Arial Bold" w:hAnsi="Arial Bold" w:cs="Arial Bold"/>
          <w:b/>
          <w:bCs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For “</w:t>
      </w:r>
      <w:r>
        <w:rPr>
          <w:rFonts w:ascii="Arial" w:hAnsi="Arial" w:cs="Arial"/>
          <w:lang w:eastAsia="zh-CN"/>
        </w:rPr>
        <w:t>some cases other than integrity check failure</w:t>
      </w:r>
      <w:r>
        <w:rPr>
          <w:rFonts w:ascii="Arial" w:hAnsi="Arial" w:cs="Arial"/>
          <w:sz w:val="20"/>
          <w:szCs w:val="20"/>
          <w:lang w:eastAsia="zh-CN"/>
        </w:rPr>
        <w:t>“ mentioned by RAN2,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 Bold" w:hAnsi="Arial Bold" w:cs="Arial Bold"/>
          <w:b/>
          <w:bCs/>
          <w:lang w:eastAsia="zh-CN"/>
        </w:rPr>
        <w:t>SA3 has a question to RAN2 for clarification: Does the AIoT device determine those error cases before performing the integrity protection check?</w:t>
      </w:r>
    </w:p>
    <w:p w14:paraId="20230F6F">
      <w:pPr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lang w:eastAsia="zh-CN"/>
        </w:rPr>
        <w:t xml:space="preserve">If the answer is yes, then there is still possibility that the reader is a compromised one and the integrity protection check will fail </w:t>
      </w:r>
      <w:r>
        <w:rPr>
          <w:rFonts w:hint="default" w:ascii="Arial" w:hAnsi="Arial" w:cs="Arial"/>
          <w:lang w:val="en-US" w:eastAsia="zh-CN"/>
        </w:rPr>
        <w:t xml:space="preserve">when being </w:t>
      </w:r>
      <w:r>
        <w:rPr>
          <w:rFonts w:ascii="Arial" w:hAnsi="Arial" w:cs="Arial"/>
          <w:lang w:eastAsia="zh-CN"/>
        </w:rPr>
        <w:t>performed. In this case, there is no necessity for the device to respond to the reader. If devi</w:t>
      </w:r>
      <w:r>
        <w:rPr>
          <w:rFonts w:hint="default" w:ascii="Arial" w:hAnsi="Arial" w:cs="Arial"/>
          <w:lang w:val="en-US" w:eastAsia="zh-CN"/>
        </w:rPr>
        <w:t>c</w:t>
      </w:r>
      <w:r>
        <w:rPr>
          <w:rFonts w:ascii="Arial" w:hAnsi="Arial" w:cs="Arial"/>
          <w:lang w:eastAsia="zh-CN"/>
        </w:rPr>
        <w:t xml:space="preserve">e sends response to reader in those cases, it also implies that the device shall differentiate the error cases of integrity check failure and other </w:t>
      </w:r>
      <w:r>
        <w:rPr>
          <w:rFonts w:hint="default" w:ascii="Arial" w:hAnsi="Arial" w:cs="Arial"/>
          <w:lang w:val="en-US" w:eastAsia="zh-CN"/>
        </w:rPr>
        <w:t xml:space="preserve">failure </w:t>
      </w:r>
      <w:r>
        <w:rPr>
          <w:rFonts w:ascii="Arial" w:hAnsi="Arial" w:cs="Arial"/>
          <w:lang w:eastAsia="zh-CN"/>
        </w:rPr>
        <w:t xml:space="preserve">cases, which imposes extra capability and complexity requirement for the AIoT devices. </w:t>
      </w:r>
    </w:p>
    <w:p w14:paraId="7C13C6EC">
      <w:pPr>
        <w:keepNext/>
        <w:keepLines/>
        <w:widowControl/>
        <w:pBdr>
          <w:top w:val="single" w:color="000000" w:sz="12" w:space="3"/>
        </w:pBdr>
        <w:spacing w:before="240" w:after="180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Actions</w:t>
      </w:r>
    </w:p>
    <w:p w14:paraId="1DC35561">
      <w:pPr>
        <w:widowControl/>
        <w:spacing w:after="12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0"/>
          <w:szCs w:val="20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>To RAN2</w:t>
      </w:r>
      <w:r>
        <w:rPr>
          <w:rFonts w:ascii="Arial" w:hAnsi="Arial" w:eastAsia="Yu Mincho" w:cs="Arial"/>
          <w:b/>
          <w:kern w:val="0"/>
          <w:sz w:val="20"/>
          <w:szCs w:val="20"/>
          <w:lang w:eastAsia="en-GB"/>
        </w:rPr>
        <w:t>:</w:t>
      </w:r>
    </w:p>
    <w:p w14:paraId="69AF37A3">
      <w:pPr>
        <w:widowControl/>
        <w:spacing w:after="120"/>
        <w:ind w:left="993" w:hanging="993"/>
        <w:jc w:val="left"/>
        <w:textAlignment w:val="baseline"/>
        <w:rPr>
          <w:rFonts w:ascii="Arial" w:hAnsi="Arial" w:eastAsia="Yu Mincho" w:cs="Arial"/>
          <w:kern w:val="0"/>
          <w:sz w:val="20"/>
          <w:szCs w:val="20"/>
          <w:lang w:eastAsia="en-GB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ab/>
      </w:r>
      <w:bookmarkStart w:id="9" w:name="OLE_LINK29"/>
      <w:bookmarkStart w:id="10" w:name="OLE_LINK28"/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>SA3 kindly asks R</w:t>
      </w:r>
      <w:r>
        <w:rPr>
          <w:rFonts w:ascii="Arial" w:hAnsi="Arial" w:eastAsia="Yu Mincho" w:cs="Arial"/>
          <w:kern w:val="0"/>
          <w:sz w:val="20"/>
          <w:szCs w:val="20"/>
          <w:lang w:eastAsia="en-GB"/>
        </w:rPr>
        <w:t>AN2</w:t>
      </w:r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 xml:space="preserve"> to take above into consideration</w:t>
      </w:r>
      <w:bookmarkEnd w:id="9"/>
      <w:bookmarkEnd w:id="10"/>
      <w:r>
        <w:rPr>
          <w:rFonts w:hint="default" w:ascii="Arial" w:hAnsi="Arial" w:eastAsia="Yu Mincho" w:cs="Arial"/>
          <w:kern w:val="0"/>
          <w:sz w:val="20"/>
          <w:szCs w:val="20"/>
          <w:lang w:val="en-US" w:eastAsia="en-GB"/>
        </w:rPr>
        <w:t>, answer the question</w:t>
      </w:r>
      <w:r>
        <w:rPr>
          <w:rFonts w:ascii="Arial" w:hAnsi="Arial" w:eastAsia="Yu Mincho" w:cs="Arial"/>
          <w:kern w:val="0"/>
          <w:sz w:val="20"/>
          <w:szCs w:val="20"/>
          <w:lang w:eastAsia="en-GB"/>
        </w:rPr>
        <w:t xml:space="preserve"> and make corresponding changes if necessary.</w:t>
      </w:r>
    </w:p>
    <w:p w14:paraId="01F65A69">
      <w:pPr>
        <w:widowControl/>
        <w:spacing w:after="12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0"/>
          <w:szCs w:val="20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 xml:space="preserve">To </w:t>
      </w:r>
      <w:r>
        <w:rPr>
          <w:rFonts w:ascii="Arial" w:hAnsi="Arial" w:eastAsia="Yu Mincho" w:cs="Arial"/>
          <w:b/>
          <w:kern w:val="0"/>
          <w:sz w:val="20"/>
          <w:szCs w:val="20"/>
          <w:lang w:eastAsia="en-GB"/>
        </w:rPr>
        <w:t>CT1:</w:t>
      </w:r>
    </w:p>
    <w:p w14:paraId="62F71ABA">
      <w:pPr>
        <w:widowControl/>
        <w:spacing w:after="120"/>
        <w:ind w:left="993" w:hanging="993"/>
        <w:jc w:val="left"/>
        <w:textAlignment w:val="baseline"/>
        <w:rPr>
          <w:rFonts w:ascii="Arial" w:hAnsi="Arial" w:eastAsia="Yu Mincho" w:cs="Arial"/>
          <w:kern w:val="0"/>
          <w:sz w:val="20"/>
          <w:szCs w:val="20"/>
          <w:lang w:eastAsia="en-GB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ab/>
      </w:r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 xml:space="preserve">SA3 kindly asks </w:t>
      </w:r>
      <w:r>
        <w:rPr>
          <w:rFonts w:ascii="Arial" w:hAnsi="Arial" w:eastAsia="Yu Mincho" w:cs="Arial"/>
          <w:kern w:val="0"/>
          <w:sz w:val="20"/>
          <w:szCs w:val="20"/>
          <w:lang w:eastAsia="en-GB"/>
        </w:rPr>
        <w:t>CT1 to check the error cases other than integrity check</w:t>
      </w:r>
      <w:r>
        <w:rPr>
          <w:rFonts w:hint="default" w:ascii="Arial" w:hAnsi="Arial" w:eastAsia="Yu Mincho" w:cs="Arial"/>
          <w:kern w:val="0"/>
          <w:sz w:val="20"/>
          <w:szCs w:val="20"/>
          <w:lang w:val="en-US" w:eastAsia="en-GB"/>
        </w:rPr>
        <w:t xml:space="preserve"> failure</w:t>
      </w:r>
      <w:r>
        <w:rPr>
          <w:rFonts w:ascii="Arial" w:hAnsi="Arial" w:eastAsia="Yu Mincho" w:cs="Arial"/>
          <w:kern w:val="0"/>
          <w:sz w:val="20"/>
          <w:szCs w:val="20"/>
          <w:lang w:eastAsia="en-GB"/>
        </w:rPr>
        <w:t xml:space="preserve"> and whether it is necessary to send response to reader under such cases. </w:t>
      </w:r>
    </w:p>
    <w:p w14:paraId="3CC92E56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>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eastAsia="Yu Mincho" w:cs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0D035EC7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  <w:lang w:val="sv-SE"/>
        </w:rPr>
        <w:t>SA3#126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       </w:t>
      </w:r>
      <w:r>
        <w:rPr>
          <w:rFonts w:ascii="Arial" w:hAnsi="Arial" w:cs="Arial"/>
          <w:szCs w:val="16"/>
          <w:lang w:val="sv-SE"/>
        </w:rPr>
        <w:t xml:space="preserve">9 </w:t>
      </w:r>
      <w:r>
        <w:rPr>
          <w:rFonts w:ascii="Arial" w:hAnsi="Arial" w:cs="Arial"/>
          <w:szCs w:val="16"/>
        </w:rPr>
        <w:t>-</w:t>
      </w:r>
      <w:r>
        <w:rPr>
          <w:rFonts w:ascii="Arial" w:hAnsi="Arial" w:cs="Arial"/>
          <w:szCs w:val="16"/>
          <w:lang w:val="sv-SE"/>
        </w:rPr>
        <w:t xml:space="preserve"> 13 February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      </w:t>
      </w:r>
      <w:r>
        <w:rPr>
          <w:rFonts w:ascii="Arial" w:hAnsi="Arial" w:cs="Arial"/>
          <w:szCs w:val="16"/>
          <w:lang w:val="sv-SE"/>
        </w:rPr>
        <w:t>India</w:t>
      </w:r>
      <w:r>
        <w:rPr>
          <w:rFonts w:ascii="Arial" w:hAnsi="Arial" w:cs="Arial"/>
          <w:szCs w:val="16"/>
        </w:rPr>
        <w:t xml:space="preserve"> Goa</w:t>
      </w:r>
    </w:p>
    <w:p w14:paraId="5557C159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SA3#127                                       13 - 17 April 2026                                          Malta       </w:t>
      </w:r>
    </w:p>
    <w:sectPr>
      <w:pgSz w:w="11906" w:h="16838"/>
      <w:pgMar w:top="1985" w:right="1701" w:bottom="1701" w:left="1701" w:header="0" w:footer="0" w:gutter="0"/>
      <w:cols w:space="720" w:num="1"/>
      <w:formProt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游明朝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游ゴシック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Devanagari">
    <w:altName w:val="苹方-简"/>
    <w:panose1 w:val="020B0502040504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Liberation Sans">
    <w:altName w:val="Thonburi"/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Noto Sans CJK SC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ABBDF"/>
    <w:multiLevelType w:val="multilevel"/>
    <w:tmpl w:val="FB3ABBDF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 w:cs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736FAA55"/>
    <w:multiLevelType w:val="multilevel"/>
    <w:tmpl w:val="736FAA55"/>
    <w:lvl w:ilvl="0" w:tentative="0">
      <w:start w:val="1"/>
      <w:numFmt w:val="bullet"/>
      <w:pStyle w:val="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 w:cs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bordersDoNotSurroundHeader w:val="0"/>
  <w:bordersDoNotSurroundFooter w:val="0"/>
  <w:documentProtection w:enforcement="0"/>
  <w:defaultTabStop w:val="840"/>
  <w:autoHyphenation/>
  <w:hyphenationZone w:val="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1605BA"/>
    <w:rsid w:val="001605BA"/>
    <w:rsid w:val="002E4DB8"/>
    <w:rsid w:val="00624493"/>
    <w:rsid w:val="0084545D"/>
    <w:rsid w:val="00ED64C7"/>
    <w:rsid w:val="00F1560D"/>
    <w:rsid w:val="00FA10E5"/>
    <w:rsid w:val="1579F291"/>
    <w:rsid w:val="3DE7F902"/>
    <w:rsid w:val="3EFD7690"/>
    <w:rsid w:val="426FFF03"/>
    <w:rsid w:val="4B3DAD9C"/>
    <w:rsid w:val="4FFDA003"/>
    <w:rsid w:val="ACF607A4"/>
    <w:rsid w:val="AF7F008F"/>
    <w:rsid w:val="BF67CEB8"/>
    <w:rsid w:val="E3BD2DC5"/>
    <w:rsid w:val="F8E8024C"/>
    <w:rsid w:val="FAE6AE3F"/>
    <w:rsid w:val="FFFEB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nhideWhenUsed="0" w:uiPriority="0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31"/>
    <w:semiHidden/>
    <w:unhideWhenUsed/>
    <w:qFormat/>
    <w:uiPriority w:val="9"/>
    <w:pPr>
      <w:keepNext/>
      <w:keepLines/>
      <w:spacing w:before="80" w:after="40"/>
      <w:ind w:left="100"/>
      <w:outlineLvl w:val="4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7">
    <w:name w:val="heading 6"/>
    <w:basedOn w:val="1"/>
    <w:next w:val="1"/>
    <w:link w:val="32"/>
    <w:semiHidden/>
    <w:unhideWhenUsed/>
    <w:qFormat/>
    <w:uiPriority w:val="9"/>
    <w:pPr>
      <w:keepNext/>
      <w:keepLines/>
      <w:spacing w:before="80" w:after="40"/>
      <w:ind w:left="200"/>
      <w:outlineLvl w:val="5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80" w:after="40"/>
      <w:ind w:left="300"/>
      <w:outlineLvl w:val="6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80" w:after="40"/>
      <w:ind w:left="400"/>
      <w:outlineLvl w:val="7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80" w:after="40"/>
      <w:ind w:left="500"/>
      <w:outlineLvl w:val="8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Body Text"/>
    <w:basedOn w:val="1"/>
    <w:uiPriority w:val="0"/>
    <w:pPr>
      <w:spacing w:after="140" w:line="276" w:lineRule="auto"/>
    </w:pPr>
  </w:style>
  <w:style w:type="paragraph" w:styleId="15">
    <w:name w:val="caption"/>
    <w:basedOn w:val="1"/>
    <w:qFormat/>
    <w:uiPriority w:val="0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character" w:styleId="16">
    <w:name w:val="annotation reference"/>
    <w:basedOn w:val="11"/>
    <w:semiHidden/>
    <w:unhideWhenUsed/>
    <w:qFormat/>
    <w:uiPriority w:val="99"/>
    <w:rPr>
      <w:sz w:val="18"/>
      <w:szCs w:val="18"/>
    </w:rPr>
  </w:style>
  <w:style w:type="paragraph" w:styleId="17">
    <w:name w:val="annotation text"/>
    <w:basedOn w:val="1"/>
    <w:link w:val="44"/>
    <w:unhideWhenUsed/>
    <w:uiPriority w:val="99"/>
    <w:pPr>
      <w:jc w:val="left"/>
    </w:pPr>
  </w:style>
  <w:style w:type="paragraph" w:styleId="18">
    <w:name w:val="annotation subject"/>
    <w:basedOn w:val="17"/>
    <w:next w:val="17"/>
    <w:link w:val="45"/>
    <w:semiHidden/>
    <w:unhideWhenUsed/>
    <w:qFormat/>
    <w:uiPriority w:val="99"/>
    <w:rPr>
      <w:b/>
      <w:bCs/>
    </w:rPr>
  </w:style>
  <w:style w:type="paragraph" w:styleId="19">
    <w:name w:val="footer"/>
    <w:basedOn w:val="1"/>
    <w:link w:val="5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53"/>
    <w:unhideWhenUsed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21">
    <w:name w:val="Hyperlink"/>
    <w:basedOn w:val="11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line number"/>
    <w:uiPriority w:val="0"/>
  </w:style>
  <w:style w:type="paragraph" w:styleId="23">
    <w:name w:val="List"/>
    <w:basedOn w:val="14"/>
    <w:uiPriority w:val="0"/>
    <w:rPr>
      <w:rFonts w:cs="Noto Sans Devanagari"/>
    </w:rPr>
  </w:style>
  <w:style w:type="paragraph" w:styleId="24">
    <w:name w:val="Subtitle"/>
    <w:basedOn w:val="1"/>
    <w:next w:val="1"/>
    <w:link w:val="3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1"/>
    <w:next w:val="1"/>
    <w:link w:val="3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customStyle="1" w:styleId="2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character" w:customStyle="1" w:styleId="29">
    <w:name w:val="Heading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30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1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2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3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4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6">
    <w:name w:val="Title Char"/>
    <w:basedOn w:val="11"/>
    <w:link w:val="26"/>
    <w:qFormat/>
    <w:uiPriority w:val="10"/>
    <w:rPr>
      <w:rFonts w:asciiTheme="majorHAnsi" w:hAnsiTheme="majorHAnsi" w:eastAsiaTheme="majorEastAsia" w:cstheme="majorBidi"/>
      <w:spacing w:val="-10"/>
      <w:kern w:val="2"/>
      <w:sz w:val="56"/>
      <w:szCs w:val="56"/>
    </w:rPr>
  </w:style>
  <w:style w:type="character" w:customStyle="1" w:styleId="37">
    <w:name w:val="Subtitle Char"/>
    <w:basedOn w:val="11"/>
    <w:link w:val="2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Quote Char"/>
    <w:basedOn w:val="11"/>
    <w:link w:val="3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">
    <w:name w:val="Intense Emphasis1"/>
    <w:basedOn w:val="11"/>
    <w:qFormat/>
    <w:uiPriority w:val="21"/>
    <w:rPr>
      <w:i/>
      <w:iCs/>
      <w:color w:val="104862" w:themeColor="accent1" w:themeShade="BF"/>
    </w:rPr>
  </w:style>
  <w:style w:type="character" w:customStyle="1" w:styleId="41">
    <w:name w:val="Intense Quote Char"/>
    <w:basedOn w:val="11"/>
    <w:link w:val="42"/>
    <w:qFormat/>
    <w:uiPriority w:val="30"/>
    <w:rPr>
      <w:i/>
      <w:iCs/>
      <w:color w:val="104862" w:themeColor="accent1" w:themeShade="BF"/>
    </w:rPr>
  </w:style>
  <w:style w:type="paragraph" w:styleId="42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3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Comment Text Char"/>
    <w:basedOn w:val="11"/>
    <w:link w:val="17"/>
    <w:qFormat/>
    <w:uiPriority w:val="99"/>
  </w:style>
  <w:style w:type="character" w:customStyle="1" w:styleId="45">
    <w:name w:val="Comment Subject Char"/>
    <w:basedOn w:val="44"/>
    <w:link w:val="18"/>
    <w:semiHidden/>
    <w:qFormat/>
    <w:uiPriority w:val="99"/>
    <w:rPr>
      <w:b/>
      <w:bCs/>
    </w:rPr>
  </w:style>
  <w:style w:type="character" w:customStyle="1" w:styleId="46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Doc-text2 Char"/>
    <w:link w:val="48"/>
    <w:qFormat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48">
    <w:name w:val="Doc-text2"/>
    <w:basedOn w:val="1"/>
    <w:link w:val="47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character" w:customStyle="1" w:styleId="49">
    <w:name w:val="EmailDiscussion Char"/>
    <w:link w:val="50"/>
    <w:qFormat/>
    <w:uiPriority w:val="0"/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0">
    <w:name w:val="EmailDiscussion"/>
    <w:basedOn w:val="1"/>
    <w:next w:val="51"/>
    <w:link w:val="49"/>
    <w:qFormat/>
    <w:uiPriority w:val="0"/>
    <w:pPr>
      <w:widowControl/>
      <w:numPr>
        <w:ilvl w:val="0"/>
        <w:numId w:val="1"/>
      </w:numPr>
      <w:spacing w:before="4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1">
    <w:name w:val="EmailDiscussion2"/>
    <w:basedOn w:val="48"/>
    <w:qFormat/>
    <w:uiPriority w:val="0"/>
  </w:style>
  <w:style w:type="character" w:customStyle="1" w:styleId="52">
    <w:name w:val="Balloon Text Char"/>
    <w:basedOn w:val="11"/>
    <w:link w:val="13"/>
    <w:semiHidden/>
    <w:qFormat/>
    <w:uiPriority w:val="99"/>
    <w:rPr>
      <w:sz w:val="18"/>
      <w:szCs w:val="18"/>
    </w:rPr>
  </w:style>
  <w:style w:type="character" w:customStyle="1" w:styleId="53">
    <w:name w:val="Header Char"/>
    <w:basedOn w:val="11"/>
    <w:link w:val="20"/>
    <w:qFormat/>
    <w:uiPriority w:val="99"/>
    <w:rPr>
      <w:sz w:val="18"/>
      <w:szCs w:val="18"/>
    </w:rPr>
  </w:style>
  <w:style w:type="character" w:customStyle="1" w:styleId="54">
    <w:name w:val="Footer Char"/>
    <w:basedOn w:val="11"/>
    <w:link w:val="19"/>
    <w:qFormat/>
    <w:uiPriority w:val="99"/>
    <w:rPr>
      <w:sz w:val="18"/>
      <w:szCs w:val="18"/>
    </w:rPr>
  </w:style>
  <w:style w:type="paragraph" w:customStyle="1" w:styleId="55">
    <w:name w:val="Heading"/>
    <w:basedOn w:val="1"/>
    <w:next w:val="14"/>
    <w:qFormat/>
    <w:uiPriority w:val="0"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customStyle="1" w:styleId="56">
    <w:name w:val="Index"/>
    <w:basedOn w:val="1"/>
    <w:qFormat/>
    <w:uiPriority w:val="0"/>
    <w:pPr>
      <w:suppressLineNumbers/>
    </w:pPr>
    <w:rPr>
      <w:rFonts w:cs="Noto Sans Devanagari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Agreement"/>
    <w:basedOn w:val="1"/>
    <w:next w:val="48"/>
    <w:qFormat/>
    <w:uiPriority w:val="0"/>
    <w:pPr>
      <w:widowControl/>
      <w:numPr>
        <w:ilvl w:val="0"/>
        <w:numId w:val="2"/>
      </w:numPr>
      <w:spacing w:before="6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9">
    <w:name w:val="Revision1"/>
    <w:semiHidden/>
    <w:qFormat/>
    <w:uiPriority w:val="99"/>
    <w:pPr>
      <w:suppressAutoHyphens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customStyle="1" w:styleId="60">
    <w:name w:val="Header and Footer"/>
    <w:basedOn w:val="1"/>
    <w:qFormat/>
    <w:uiPriority w:val="0"/>
  </w:style>
  <w:style w:type="paragraph" w:customStyle="1" w:styleId="61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</a:majorFont>
      <a:minorFont>
        <a:latin typeface="游明朝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Qualcomm Incorporated</Company>
  <Pages>2</Pages>
  <Words>334</Words>
  <Characters>1905</Characters>
  <Lines>15</Lines>
  <Paragraphs>4</Paragraphs>
  <TotalTime>8</TotalTime>
  <ScaleCrop>false</ScaleCrop>
  <LinksUpToDate>false</LinksUpToDate>
  <CharactersWithSpaces>2235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2025-11-05T23:15:00Z</dcterms:created>
  <dc:creator>Data</dc:creator>
  <cp:lastModifiedBy>Apple</cp:lastModifiedBy>
  <dcterms:modified xsi:type="dcterms:W3CDTF">2025-11-09T23:51:38Z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MSIP_Label_75af88a6-b88e-425b-bf39-433b2fafd692_ContentBits">
    <vt:lpwstr>8</vt:lpwstr>
  </property>
  <property fmtid="{D5CDD505-2E9C-101B-9397-08002B2CF9AE}" pid="4" name="MSIP_Label_75af88a6-b88e-425b-bf39-433b2fafd692_Enabled">
    <vt:lpwstr>true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92e84ceb-fbfd-47ab-be52-080c6b87953f_enabled">
    <vt:lpwstr>0</vt:lpwstr>
  </property>
  <property fmtid="{D5CDD505-2E9C-101B-9397-08002B2CF9AE}" pid="10" name="MSIP_Label_92e84ceb-fbfd-47ab-be52-080c6b87953f_method">
    <vt:lpwstr/>
  </property>
  <property fmtid="{D5CDD505-2E9C-101B-9397-08002B2CF9AE}" pid="11" name="MSIP_Label_92e84ceb-fbfd-47ab-be52-080c6b87953f_removed">
    <vt:lpwstr>1</vt:lpwstr>
  </property>
  <property fmtid="{D5CDD505-2E9C-101B-9397-08002B2CF9AE}" pid="12" name="MSIP_Label_92e84ceb-fbfd-47ab-be52-080c6b87953f_siteId">
    <vt:lpwstr>92e84ceb-fbfd-47ab-be52-080c6b87953f</vt:lpwstr>
  </property>
  <property fmtid="{D5CDD505-2E9C-101B-9397-08002B2CF9AE}" pid="13" name="KSOProductBuildVer">
    <vt:lpwstr>1033-6.9.0.8865</vt:lpwstr>
  </property>
  <property fmtid="{D5CDD505-2E9C-101B-9397-08002B2CF9AE}" pid="14" name="ICV">
    <vt:lpwstr>3B37DD892E0CBFBA6C62EC68857792E7_42</vt:lpwstr>
  </property>
</Properties>
</file>